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F9" w:rsidRPr="001716F9" w:rsidRDefault="001716F9" w:rsidP="00171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6F9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1716F9" w:rsidRPr="001716F9" w:rsidRDefault="001716F9" w:rsidP="001716F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6F9">
        <w:rPr>
          <w:rFonts w:ascii="Times New Roman" w:hAnsi="Times New Roman" w:cs="Times New Roman"/>
          <w:sz w:val="28"/>
          <w:szCs w:val="28"/>
        </w:rPr>
        <w:t>1.</w:t>
      </w:r>
      <w:r w:rsidRPr="001716F9">
        <w:rPr>
          <w:rFonts w:ascii="Times New Roman" w:hAnsi="Times New Roman" w:cs="Times New Roman"/>
          <w:sz w:val="28"/>
          <w:szCs w:val="28"/>
        </w:rPr>
        <w:tab/>
        <w:t>Характеристика Средневековой философии. Ансельм Кентерберийский: «Верю, чтобы понимать». Пьер Абеляр: «Понимаю, чтобы верить». Объясните данные философские принципы.</w:t>
      </w:r>
    </w:p>
    <w:p w:rsidR="001716F9" w:rsidRPr="001716F9" w:rsidRDefault="001716F9" w:rsidP="00171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6F9" w:rsidRPr="001716F9" w:rsidRDefault="001716F9" w:rsidP="001716F9">
      <w:pPr>
        <w:jc w:val="both"/>
        <w:rPr>
          <w:rFonts w:ascii="Times New Roman" w:hAnsi="Times New Roman" w:cs="Times New Roman"/>
          <w:sz w:val="28"/>
          <w:szCs w:val="28"/>
        </w:rPr>
      </w:pPr>
      <w:r w:rsidRPr="001716F9">
        <w:rPr>
          <w:rFonts w:ascii="Times New Roman" w:hAnsi="Times New Roman" w:cs="Times New Roman"/>
          <w:sz w:val="28"/>
          <w:szCs w:val="28"/>
        </w:rPr>
        <w:t>2. Ж.-П. Сартр писал о человеческом бытии: «Существование предшествует сущности». Объясните позицию философа.</w:t>
      </w:r>
    </w:p>
    <w:p w:rsidR="000505D6" w:rsidRDefault="000505D6"/>
    <w:sectPr w:rsidR="0005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6F9"/>
    <w:rsid w:val="000505D6"/>
    <w:rsid w:val="0017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2016-04-11T10:32:00Z</dcterms:created>
  <dcterms:modified xsi:type="dcterms:W3CDTF">2016-04-11T10:33:00Z</dcterms:modified>
</cp:coreProperties>
</file>